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января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вышеуказанные судебные акты, одновременно заявив ходатайство о восстановлении пропущенного процессуального срока на ее подачу.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Центрального округа от 10 октября 2024 г., на момент обращения заявителя в Верховный Суд Российской Федерации двухмесячный срок, установленный статьей 2912 АПК РФ, истек. Положениями части 2 статьи 2912 АПК РФ предусмотрено, что срок подачи кассационных жалобы, представления, пропущенный по причинам, не 2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срок, установленный частью 1 статьи 2912 АПК РФ. Руководствуясь статьями 117, 184, 185,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«ВоронежТрансБизнес»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