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2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Основания освобождения от уплаты государственной пошлины, а также льготы при обращении в арбитражные суды установлены в статьях 33335, 33337 Налогового кодекса Российской Федерации. Заявитель, исходя из предмета настоящего спора и доводов, изложенных в ходатайстве, не относится к категории лиц, которые освобождены от уплаты государственной пошлины в соответствии с налоговым законодательством, в связи с чем основания для удовлетворения ходатайства заявителя об освобождении от уплаты государственной пошлины отсутствуют. Вместе с тем предприниматель не лишен возможности обратиться в Верховный Суд Российской Федерации с кассационной жалобой и заявить ходатайство об отсрочке уплаты государственной пошлины.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3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При этом предпринимателем не представлены все необходимые документы, свидетельствующие о невозможности уплатить государственную пошлину.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Василенко Евгению Сергеевичу в удовлетворении ходатайства об освобождении от уплаты государственной пошлины. Кассационную жалобу на решение Арбитражного суда Краснодарского края от 29 февраля 2024 г., постановление Пятнадцатого арбитражного апелляционного суда от 15 июля 2024 г. и постановление Арбитражного суда Северо-Кавказского округа от 5 декабря 2024 г. по делу № А32-49838/2023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