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дополнений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27 ноября 2024 г. обществу предоставлена отсрочка по уплате государственной пошлины за подачу кассационной жалобы. С учетом положений статей 33321, 33322 Налогового кодекса Российской Федерации и статей 102, 110 Арбитражного процессуального кодекса 2 Российской Федерации государственная пошлина подлежит взысканию с заявителя в доход федерального бюджета.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«СтройСнабОпт» в лице конкурсного управляющего Мировова Александра Валерьевича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«СтройСнабОпт» в доход федерального бюджета 80 000 (восемьдесят тысяч) рублей государственной пошлины за подачу кассационной жалобы. Арбитражному суду Московской области выдать исполнительный лист.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