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28 декабря 2024 г. обратился в Верховный Суд Российской Федерации с кассационной жалобой на вышеуказанные судебные акты, заявив ходатайство о восстановлении срока на подачу жалобы.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Московского округа от 21 августа 2024 г., срок на обжалование которого истек 21 октября 2024 г. Обратившись с кассационной жалобой 28 декабря 2024 г.,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2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В обоснование пропуска срока предприниматель ссылается на временную недоступность официального сайта суда в информационно-телекоммуникационной сети Интернет.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Так с полным текстом последнего обжалуемого судебного акта - постановления Арбитражного суда Московского округа от 21 августа 2024 г. заявитель мог ознакомиться 22 августа 2024 г.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Согласно части 2 статьи 9 АПК РФ лица, участвующие в деле несут риск наступления последствий совершения или несовершения ими процессуальных действий.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3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Кузьмину Андрею Константиновичу в удовлетворении ходатайства о восстановлении пропущенного процессуального срока. Кассационную жалобу на решение Арбитражного суда города Москвы от 4 октября 2023 г. и постановление Арбитражного суда Московского округа от 21 августа 2024 г. по делу № А40-151106/2023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