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Одновременно с подачей кассационной жалобы в Верховный Суд Российской Федерации заявитель ходатайствовал о направлении запроса в Конституционный Суд Российской Федерации. При этом заявитель не привел доводов, препятствующих самостоятельному обращению в Конституционный Суд Российской Федерации в установленном законом порядке. Оснований для обращения в Конституционный Суд Российской Федерации в порядке статьи 101 Федерального конституционного закона от 21 июля 1994 г. № 1-ФКЗ «О Конституционном Суде Российской Федерации» и части 3 статьи 13 Арбитражного процессуального кодекса Российской Федерации с соответствующим запросом не усматривается.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- Россети»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"Федеральная сетевая компания - Россети" (подробнее) Ответчики: ПАО "Промсвязьбанк" (подробнее) Иные лица: ПАО РОССЕТИ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