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«Импульс Строй» (подрядчик, далее – общество) обратилось в арбитражный суд с иском к некоммерческой организации «Фонд капитального ремонта многоквартирных домов Амурской области» (заказчик, далее – учреждение) об урегулировании разногласий, возникших при заключении договора от 27 февраля 2023 г. № РТС228А230020(Д) на выполнение работ по капитальному ремонту общего имущества многоквартирных домов. Исследовав и оценив представленные в материалы дела доказательства, суд первой инстанции, руководствуясь статьями 10, 445, 446, 709, 753 Гражданского кодекса Российской Федерации, статьей 346.11 Налогового кодекса Российской Федерации, Положением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2 общего имущества в многоквартирных домах», утвержденным постановлением Правительства Российской Федерации от 1 июля 2016 г. № 615, правовой позицией, изложенной в пункте 32 Обзора судебной практики Верховного Суда Российской Федерации № 2(2021), утвержденного Президиумом Верховного Суда Российской Федерации 30 июня 2021 г., установив все обстоятельства по делу, пришел к выводу, что оспариваемые условия пункта 3.2, абзацев 2 и 3 пункта 3.3, абзаца 4 пункта 3.1, 3.2 договора исключению не подлежат и принимаются в редакции заказчика. Изменяя решение суда, суд апелляционной инстанции исходил из того, что возникшие между сторонами разногласия по условиям договора подлежат урегулированию в редакции общества. Отменяя постановление апелляционного суда и оставляя в силе решение суда первой инстанции, суд округа указал, что оспариваемые условия договора не возлагают на подрядчика дополнительные расходы, поскольку предусматривают право на компенсацию НДС, уплаченного им поставщикам материальных ресурсов и за оказание услуг сторонними организациями.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«Импульс 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