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 апреля 2024 года, оставленным без изменения постановлением Десятого арбитражного апелляционного суда от 1 июля 2024 года и постановлением Арбитражного суда Московского округа от 1 октября 2024 года, процедура реализации имущества ФИО1 завершена, к должнику применены правила об освобождении от дальнейшего исполнения обязательств перед кредиторами, за исключением обязательств перед ПАО «Сбербанк России». ФИО1 обратилась в Судебную коллегию по экономическим спорам Верховного Суда Российской Федерации с кассационной жалобой на принятые судебные акты в части неприменения правил об освобождении от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банком.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АО "Газпромбанк" (подробнее) Ассоциация "Саморегулируемая организация арбитражных управляющих "Меркурий" (подробнее) ЗАО ПУБЛИЧНОЕ АКЦИОНЕРНОЕ ОБЩЕСТВО СБЕРБАНК РОССИИ (подробнее) ПАО Банк ВТБ (подробнее) ПАО "МТС-Банк" (подробнее) ПАО Сбер банк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