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ФИО1 в Арбитражный суд города Санкт-Петербурга и Ленинградской области обратился должник с ходатайством об исключении из конкурсной массы денежных средств. Определением Арбитражного суда города Санкт-Петербурга и Ленинградской области от 20 февраля 2024 года, оставленным без изменения постановлением Тринадцатого арбитражного апелляционного суда от 14 июня 2024 года и постановлением Арбитражного суда Северо-Западного округа от 15 октября 2024 года, в удовлетворении заявления отказано. ФИО1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 об исключении денежных средств из конкурсной массы должника, суды руководствовались положениями статей 60, 213.25 Федерального закона от 26 октября 2002 года № 127-ФЗ «О несостоятельности (банкротстве)»,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25 октября 2018 года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у гражданина – банкрота постоянного дохода и непоступления денежных средств в конкурсную массу должника, установив также выплату денежных средств должнику из полученного им дохода.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АГРОТЕХМАШ (подробнее) Иные лица: АО АЛЬФА БАНК (подробнее) АО Банк Русский Стандарт (подробнее) ГУ Управление по вопросам миграции МВД России по Санкт-Петербургу и Ленинградской области (подробнее) Комитет ЗАГС по СПб (подробнее) ПАО Сбербанк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