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Тартарашвили Т.Т. в Арбитражный суд города Москвы обратился должник с жалобой на действия (бездействие) финансового управляющего Вахнина С.А., выразившиеся в невключении в конкурсную массу имеющегося в собственности должника имущества, уклонении от проведения инвентаризации и оценки имущества должника, признании данного бездействия незаконным и обязании финансового управляющего Вахнина С.А. провести инвентаризацию имущества должника. Определением Арбитражного суда города Москвы от 11 апреля 2024 г., оставленным без изменения постановлением Девятого арбитражного апелляционного суда от 20 июня 2024 г. и постановлением Арбитражного суда Московского округа от 30 августа 2024 г., в удовлетворении требований должника отказано. Тартарашвили Т.Т.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руководствовались положениями статей 20.3, 60, 213.9 Федерального закона от 26 октября 2002 г. № 127-ФЗ «О несостоятельности (банкротстве)» и исходили из отсутствия доказательств, свидетельствующих о ненадлежащем исполнении финансовым управляющим возложенных на него обязанностей, нарушении прав и законных интересов должника и его кредиторов, в связи с чем пришли к выводу об отсутствии оснований для отстранения арбитражного управляющего от исполнения возложенных на него в деле о банкротстве должника обязанностей.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