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25 ноября 2024 года на основании пункта 1 части 1 статьи 295 Арбитражного процессуального кодекса Российской Федерации в связи с отсутствием документов, подтверждающих уплату государственной пошлины в установленных порядке и размере. Настоящая кассационная жалоба подана заявителем, согласно оттиску почтового штемпеля, 13.12.2024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Центрального округа от 30 сентября 2024 года, двухмесячный срок на подачу кассационной жалобы истек 2 декабря 2024 года (с учетом выходных дней).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 поскольку ненадлежащая первоначальная подача кассационной жалобы и последующая уплата государственной пошлины 11 декабря 2024 года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 Суд: Верховный Суд РФ (подробнее) Иные лица: АССОЦИАЦИЯ "НАЦИОНАЛЬНАЯ ОРГАНИЗАЦИЯ АРБИТРАЖНЫХ УПРАВЛЯЮЩИХ" (подробнее) ООО ЦПП "Кредитный Арбитр" (подробнее) Отделение судебных приставов по Обоянскому, Медвенскому и Пристенскому району (подробнее) Управление Росреестра по Курской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