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с заявлением о признании недействительным договора дарения 1/2 доли в праве общей долевой собственности на квартиру, заключенного между должником и ФИО1, и признании за должником права собственности на спорную долю. Определением Арбитражного суда города Москвы от 5 июня 2024 г., оставленным без изменения постановлением Девятого арбитражного апелляционного суда от 29 июля 2024 г. и постановлением Арбитражного суда Московского округа от 2 октября 2024 г., заявление удовлетворено.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 октября 2002 г. № 127-ФЗ «О несостоятельности (банкротстве)», разъяснениями, содержащимися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на момент отчуждения доли в отношении должника судом принято заявление о взыскании убытков как с контролирующего должника лица; сделка совершена безвозмездно в отношении заинтересованного лица, в целях вывода ликвидного имущества, в результате чего причинен вред имущественным правам кредиторов.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 Банк Русский Стандарт" (подробнее) ИФНС России №27 по г. Москве (подробнее) ООО "БУТАГ-ПЛЮС" (подробнее) ООО "Феникс"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