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Муртазалиева Шамиля Рамазановича в Арбитражный суд города Москвы обратился должник с жалобой на действия финансового управляющего Сенцова А.С. и взыскании убытков в размере 15 590 297 рублей 54 копеек. Определением Арбитражного суда города Москвы от 14 февраля 2024 года, оставленным без изменения постановлением Девятого арбитражного апелляционного суда от 26 апреля 2024 года, в удовлетворении жалобы отказано. Арбитражный суд Московского округа постановлением от 29 августа 2024 года указанные судебные акты отменил, обособленный спор направил на новое рассмотрение в Арбитражный суд города Москвы. Финансовый управляющий Сенцов А.С.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суд первой инстанции с целью установления обстоятельств, имеющих значение для правильного разрешения спора, полного и всестороннего исследования и оценки представленных доказательств, а также с целью рассмотрения вопроса об объединении в одно производство всех заявлений о признании незаконными действий (бездействия) финансового управляющего для их более полного и правильного рассмотрения и оценки оспариваемых действий в совокупности,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