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Соковых В.В. в Арбитражный суд Оренбургской области обратилась должник, действуя в интересах несовершеннолетней Соковых В.Ю., с заявлением об исключении из конкурсной массы жилого дома и земельного участка, признании недействительными торгов по реализации указанного недвижимого имущества и заключенного по их результатам договора купли-продажи с Шатохиной С.М. и применении последствий недействительности сделки. Определением Арбитражного суда Оренбургской области от 24 августа 2022 года, оставленным без изменения постановлением Восемнадцатого арбитражного апелляционного суда от 21 мая 2024 года и постановлением Арбитражного суда Уральского округа от 28 августа 2024 года, в удовлетворении заявления отказано. Соковых В.Ю. в лице законного представителя Соковых В.В. обратилась в Судебную коллегию Верховного Суда Российской Федерации с кассационной 2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установили, что действия по регистрации должника и ее несовершеннолетнего ребенка в спорном жилом помещении после возврата его в конкурсную массу в результате применения последствий недействительности совершенной должником сделки по выводу имущества с целью причинения вреда имущественным правам кредиторов, которые привели к ситуации, при которой жилое помещение, ранее не являвшееся единственным пригодным для проживания должника, формально стало таковым и потому получающим исполнительский иммунитет от обращения на него взыскания в пользу кредиторов, являются недобросовестными и представляют собой злоупотребление правом (статья 10 Гражданского кодекса Российской Федерации). Установив также, что торги по реализации спорных жилого дома и земельного участка проведены в соответствии с положениями Федерального закона от 26 октября 2002 года № 127-ФЗ «О несостоятельности (банкротстве)» и утвержденным судом порядком продажи, учитывая допущенное должником злоупотребление правом, руководствуясь положениями статьи 213.25 Закона о банкротстве, статьей 449 Гражданского кодекса Российской Федерации, суды пришли к выводу об отсутствии оснований для удовлетворения заявления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