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Муртазалиева Шамиля Рамазановича в Арбитражный суд города Москвы обратилась Муртазалиева Е.В. с жалобой на действия (бездействие) финансового управляющего Сенцова А.С., с ходатайством об отстранении его от исполнения обязанностей и взыскании убытков в размере 10 374 838 рублей. Определением Арбитражного суда города Москвы от 14 февраля 2024 года, оставленным без изменения постановлением Девятого арбитражного апелляционного суда от 25 апреля 2024 года, в удовлетворении заявленных требований отказано. Арбитражный суд Московского округа постановлением от 29 августа 2024 года указанные судебные акты отменил, обособленный спор направил на новое рассмотрение в Арбитражный суд города Москвы. Финансовый управляющий Сенцов А.С. обратился в Судебную коллегию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Отменяя принятые по спору судебные акты и направляя обособленный спор на новое рассмотрение в суд первой инстанции с целью установления обстоятельств, имеющих значение для правильного разрешения спора, полного и всестороннего исследования и оценки представленных доказательств, а также с целью рассмотрения вопроса об объединении в одно производство всех заявлений о признании незаконными действий (бездействия) финансового управляющего для их более полного и правильного рассмотрения и оценки оспариваемых действий в совокупности, окружной суд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