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Профессиональная коллекторская организация «Владимирское правовое агентство» обратилось в Арбитражный суд города Москвы с заявлением о признании несостоятельным (банкротом) Ламбина А.И. Определением Арбитражного суда города Москвы от 11 июня 2024 года, оставленным без изменения постановлением Девятого арбитражного апелляционного суда от 31 июля 2024 года и постановлением Арбитражного суда Московского округа от 2 октября 2024 года, заявление признано обоснованным, в отношении должника введена процедура реструктуризации долгов гражданина, требование кредитора в размере 681 989 рублей 92 копеек включено в реестр требований кредиторов должника, как обеспеченное залогом имущества должника. Ламбин А.И.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требование кредитора обоснованным и вводя процедуру реструктуризации долгов, суды руководствовались статьями 213.3, 213.4, 213.5, 213.6 Федерального закона от 26 октября 2002 года № 127-ФЗ «О несостоятельности (банкротстве)» и исходили из обоснованности заявленного кредитором и подтвержденного вступившими в законную силу судебными актами судов общей юрисдикции требования, отсутствия доказательств погашения задолженности, что свидетельствует о неплатежеспособности должника, признав соблюдение кредитором срока на принудительное исполнение судебного акта.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