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Чумачкова О.А. в Арбитражный суд Московской области обратился должник с жалобой на действия (бездействие) арбитражного управляющего Муравьевой Т.Д. и заявлением о возмещении арбитражным управляющим причиненных должнику убытков в размере 1 810 121 рубля 38 копеек. Определением Арбитражного суда Московской области от 9 января 2024 г. в принятии уточнений заявленных должником требований отказано, в удовлетворении заявления должника отказано. Постановлением Десятого арбитражного апелляционного суда от 22 апреля 2024 г. определение суда первой инстанции оставлено без изменения. Арбитражный суд Московского округа постановлением от 30 сентября 2024 г. указанные судебные акты оставил без изменения. Чумачков О.А.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жалобы, суды руководствовались положениями статей 20.3, 60, 213.9, 213.27 Федерального закона от 26 октября 2002 г. № 127-ФЗ «О несостоятельности (банкротстве)» и исходили из того, что на момент реализации спорного имущества и распределения денежных средств финансовый управляющий действовал в соответствии с нормами законодательства и сформированными правовыми позициями судов, действовавшими на тот период времени; половина денежных средств, вырученных в результате реализации квартиры, перечислена супруге должника; разногласия между должником и финансовым управляющим в части распределения денежных средств, оставшихся от реализации заложенного имущества, между остальными кредиторами третьей очереди были предметом рассмотрения судов в рамках иного обособленного спора. Доводы кассационной жалобы не свидетельствуют о наличии существенных нарушений норм материального права и (или) процессуального права и не могут служить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