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Оснований, по которым можно не согласиться с выводами суда округа о направлении дела на новое рассмотрение в арбитражный суд первой инстанции, не усматривается. Обжалуемое постановление принято в пределах полномочий, предоставленных суду кассационной инстанции (статьи 286 , 287 Арбитражного процессуального кодекса Российской Федерации).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имущества Курской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Комитет по управлению имуществом Курской области (подробнее) Ответчики: УФАС России по Курской области (подробнее) Иные лица: Арбитражный суд Центрального округа (подробнее) Девятнадцатый арбитражный апелляционный суд (подробнее) Судьи дела: Антонова М.К. (судья) (подробнее) Последние документы по делу: Определение от 15 декабря 2024 г. по делу № А35-3749/2022 Определение от 21 сентября 2023 г. по делу № А35-3749/2022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