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финансовый управляющий не представил никаких доказательств, свидетельствующих об имущественном положении должника на момент подачи жалобы. Ссылка на неразрешенный спор в отношении денежных средств, находящихся на счете должника, сама по себе не свидетельствует об имущественном положении должника и невозможности уплаты государственной пошлины при подаче кассационной жалобы – в отсутствие документов, подтверждающих указанные обстоятельства.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Мосоловой Т.С.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