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Сазонова Д.А. в Арбитражный суд города Москвы обратился должник с заявлением об исключении из конкурсной массы должника земельного участка и расположенного на нем жилого дома. Кредитор - ООО «Технологии здоровья» обратился в Арбитражный суд города Москвы с заявлением об исключении из конкурсной массы квартиры, расположенной на ул. Никулинская, или 23/48 доли в праве собственности на квартиру, расположенную на ул. Татьянин Парк. Определением Арбитражного суда города Москвы от 13 сентября 2023 г. заявления должника и кредитора объединены для совместного рассмотрения в одно производство. Определением Арбитражного суда города Москвы от 13 мая 2024 г., оставленным без изменения постановлением Девятого арбитражного апелляционного суда от 24 июля 2024 г., из конкурсной массы исключены земельный участок и расположенный на нем жилой дом; в удовлетворении заявления кредитора отказано. Арбитражный суд Московского округа постановлением от 1 октября 2024 г. указанные судебные акты отменил и направил обособленный спор на новое рассмотрение в Арбитражный суд города Москвы. Сазонов Д.А. обратился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существенное значение для правильного разрешения спора, полного и всестороннего исследования и оценки представленных доказательств, с учетом доводов участвующих в деле лиц,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