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Йост Риммы Семеновны в Арбитражный суд города Москвы обратилась должник с заявлением об исключении из конкурсной массы квартиры. Определением Арбитражного суда города Москвы от 1 апреля 2024 г. в удовлетворении заявления отказано. Постановлением Девятого арбитражного апелляционного суда от 5 июня 2024 г. определение суда первой инстанции отменено, заявление удовлетворено. Арбитражный суд Московского округа постановлением от 26 августа 2024 г. постановление суда апелляционной инстанции оставил без изменения. Вартазарова Е.В. и финансовый управляющий Шишкина И.Б. обратились в Судебную коллегию Верховного Суда Российской Федерации с кассационными жалобами на принятые по обособленному спору постановления суда апелляционной инстанции и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 апелляционной инстанции руководствовался положениями статьи 213.25 Федерального закона от 26 октября 2002 г. № 127-ФЗ «О несостоятельности (банкротстве)», статьей 446 Гражданского процессуального кодекса Российской Федерации, правовыми позициями Конституционного Суда Российской Федерации, изложенными в постановлениях от 14 мая 2012 г. № 11-П и от 26 апреля 2021 г. № 15-П, и исходил из того, что спорная квартира является единственным пригодным для постоянного проживания жилым помещением должника, доказательств наличия у должника и зарегистрированного в спорной квартире внука иного жилого помещения, пригодного для проживания должника и членов его семьи, не представлено, обстоятельств для снятия со спорного имущества исполнительского иммунитета не установлено, признанная судом недействительной сделка дарения в пользу близкого родственника направлена на сохранение за должником жилого помещения, доводов о наличии у спорного жилого помещения признаков роскошного жилья не заявлено. Суд округа поддержал выводы суда апелляционной инстанции. Доводы, изложенные в кассационных жалобах, приводились при рассмотрении спора,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