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в электронном виде 08.12.2024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2 статьями 259, 276, 291.2, 308.1 и 312 АПК РФ предельные допустимые сроки для восстановления. Последним обжалуемым судебным актом по обособленному спору является постановление Арбитражного суда Поволжского округа от 15 августа 2024 года, следовательно, двухмесячный срок на подачу кассационной жалобы истек 15 октября 2024 года, тогда как жалоба подана 8 декабря 2024 года. Одновременно с подачей жалобы должником заявлено ходатайство о восстановлении пропущенного процессуального срока. В качестве причины пропуска срока указано нахождение заявителя на больничном по уходу за несовершеннолетним с 25.09.2024 по 06.11.2024. Между тем, указанное обстоятельство не является уважительной причиной пропуска срока на обжалование. Согласно сведениям, содержащимся в обжалуемом судебном акте, постановление окружного суда вынесено по результатам рассмотрения кассационной жалобы Лазутовой О.А., являющейся должником по делу, информация о принятом судебном акте размещена судом кассационной инстанции своевременно – обжалуемое постановление опубликовано в информационно-телекоммуникационной сети «Интернет» 16.08.2024 и с момента публикации судебного акта заявитель имел достаточный промежуток времени (два месяца) для подготовки и подачи кассационной жалобы в предусмотренный процессуальным законодательством срок. Нахождение заявителя на больничном по уходу за несовершеннолетним не препятствовало подаче жалобы в срок способами, предусмотренными АПК РФ, тем более, что с настоящей жалобой должник обратился в электронном виде.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Лазутовой Ольге Александровне в удовлетворении ходатайства о восстановлении пропущенного процессуального срока подачи кассационной жалобы на определение Арбитражного суда Самарской области от 25 марта 2024 года по делу № А55-3923/2018, постановление Одиннадцатого арбитражного апелляционного суда от 6 июня 2024 года и постановление Арбитражного суда Поволжского округа от 15 августа 2024 года по тому же делу. Жалобу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