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Кемеровской области обратился финансовый управляющий имуществом должника с заявлением о признании недействительными брачного договора, заключенного между должником и ФИО1 по определению режима собственности на квартиру, и цепочки сделок, прикрывающих приобретение имущества должником. Определением Арбитражного суда Кемеровской области от 30 января 2024 года, оставленным без изменения постановлением Седьмого арбитражного апелляционного суда от 13 мая 2024 года и постановлением Арбитражного суда Западно-Сибирского округа от 4 сентября 2024 года, договоры признаны притворными по субъектному составу; в удовлетворении заявления о признании недействительным брачного договора отказано.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частично удовлетворяя заявление финансового управляющего, суды исходили из того, что оспариваемые договоры купли-продажи и дарения являются притворными сделками по субъектному составу, прикрывающими осуществление купли-продажи квартир и дарения доли в квартире самим должником, признав не пропущенным срок исковой давности по заявленному требованию.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России по Центральному району г. Новокузнецка (подробнее) Межрайонная инспекция Федеральной налоговой службы №16 по Новосибирской области (подробнее) ООО "Компания Максима" (подробнее) ООО "Хлебороб" (подробнее) Иные лица: АО "БАНК ДОМ.РФ" (подробнее) Ассоциация "Краснодарская межрегиональная саморегулируемая организация арбитражных управляющих "Единство" (подробнее) МРИ ФНС №14 по Кемеровской области-Кузбассу (подробнее) НП "Объединение арбитражных управляющих "Авангард"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