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20 мая 2024 г. заявление ПАО «Сбербанк России» признано обоснованным, в отношении ФИО1 введена процедура реструктуризации долгов; в третью очередь реестра требований кредиторов должника включено требование ПАО «Сбербанк России» в размере 23 112 511 рублей 72 копеек; финансовым управляющим утверждена ФИО2 Постановлением Десятого арбитражного апелляционного суда от 16 июля 2024 г. определение суда первой инстанции оставлено без изменения. Арбитражный суд Московского округа постановлением от 24 сентября 2024 г.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обоснованным и вводя процедуру реструктуризации долгов гражданина, суды, руководствуясь положениями статьи 69 Арбитражного процессуального кодекса Российской Федерации, статьями 71, 100 Федерального закона от 26 октября 2002 г. № 127-ФЗ «О несостоятельности (банкротстве)», исходили из обоснованности заявления о признании должника банкротом, наличия неисполненного обязательства, подтвержденного вступившим в законную силу судебным актом суда общей юрисдикции, отклонив как необоснованный довод должника о пропуске кредитором срока на предъявление исполнительного листа к исполнению.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АРБИТРАЖНЫХ УПРАВЛЯЮЩИХ "СИБИРСКИЙ ЦЕНТР ЭКСПЕРТОВ АНТИКРИЗИСНОГО УПРАВЛЕНИЯ" (подробнее) ЗАО ПУБЛИЧНОЕ АКЦИОНЕРНОЕ ОБЩЕСТВО СБЕРБАНК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