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Сутормина Александра Васильевича в Арбитражный суд города Москвы обратился Стоянов К.Ю. с заявлением о включении в реестр требований кредиторов должника задолженности в размере 340 818 рублей 24 копеек. Определением Арбитражного суда города Москвы от 18 марта 2024 года восстановлен срок на подачу заявления о включении требования в реестр требований кредиторов должника и требование кредитора удовлетворено. Постановлением Девятого арбитражного апелляционного суда от 4 июня 2024 года определение суда первой инстанции отменено, в удовлетворении заявления Стоянова К.Ю. отказано. Арбитражный суд Московского округа постановлением от 26 августа 2024 года оставил без изменения постановление суда апелляционной инстанции. Стоянов К.Ю.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суд апелляционной инстанции пришел к выводу об отсутствии надлежащих доказательств, свидетельствующих о реальности выдачи займа. Окружной суд поддержал выводы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