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финансовый управляющий не представил никаких доказательств, свидетельствующих об имущественном положении должника на момент подачи жалобы. Ссылка на введение в отношении должника процедуры банкротства и отсутствие в конкурсной массе должника денежных средств сама по себе не свидетельствует об имущественном положении должника в отсутствие документов, подтверждающих указанные обстоятельства.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Макаренко А.Г.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