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Сутормина Александра Васильевича в Арбитражный суд города Москвы обратился Стоянов К.Ю. с заявлением о включении в реестр требований кредиторов должника задолженности в размере 340 330 рублей 54 копеек. Определением Арбитражного суда города Москвы от 18 марта 2024 года восстановлен срок на подачу заявления о включении требования в реестр требований кредиторов должника и требование кредитора удовлетворено. Постановлением Девятого арбитражного апелляционного суда от 4 июня 2024 года определение суда первой инстанции отменено, в удовлетворении заявления Стоянова К.Ю. отказано. Арбитражный суд Московского округа постановлением от 22 августа 2024 года оставил без изменения постановление суда апелляционной инстанции. Стоянов К.Ю.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суд апелляционной инстанции пришел к выводу об отсутствии надлежащих доказательств, свидетельствующих о реальности выдачи займа. Окружной суд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