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«Эксс-Лайн» обратилось в Арбитражный суд города Санкт- Петербурга и Ленинградской области с иском о взыскании с АО «Силовые машины» 2 859 036 рублей 25 копеек задолженности по договору на перевозку грузов, а также расходов на оплату услуг представителя в размере 100 000 рублей. АО «Силовые машины» обратилось в суд с встречным иском к ООО «Эксс-Лайн» о взыскании убытков в размере 3 890 990 рублей 78 копеек. Решением Арбитражного суда города Санкт-Петербурга и Ленинградской области от 21 декабря 2023 года в удовлетворении первоначального иска отказано; встречный иск удовлетворен в части взыскания с ООО «ЭкссЛайн» в пользу АО «Силовые машины» 3 061 464 рублей 34 копеек убытков, а также 33 406 рублей 95 копеек судебных расходов по оплате государственной пошлины; в удовлетворении встречного иска в остальной части отказано. Постановлением Тринадцатого арбитражного апелляционного суда от 16 апреля 2024 года решение суда первой инстанции отменено; первоначальный иск удовлетворен; в удовлетворении встречного иска отказано. 2 Арбитражный суд Северо-Западного округа постановлением от 29 августа 2024 года оставил без изменения постановление суда апелляционной инстанции. АО «Силовые машины»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наличие доказательств, свидетельствующих об оказании истцом по первоначальному иску ответчику услуг по перевозке грузов автомобильным транспортом и частичную оплату задолженности, руководствуясь положениями статей 784, 785, 793 Гражданского кодекса Российской Федерации, суд апелляционной инстанции пришел к выводу о правомерности заявленного требования по первоначальному иску. Отказывая в удовлетворении встречного иска, суд руководствовался статьями 15, 393, 410 Гражданского кодекса Российской Федерации, сделав вывод об отсутствии обоснованного однородного встречного требования, вследствие наличия которого обязательство может считаться прекращенным посредством зачета встречных однородных требований, и недоказанности наличия совокупности обстоятельств, влекущих привлечение перевозчика к ответственности в виде возмещения убытков в виде уплаченных налогов. Окружной суд поддержал выводы суда апелляционной инстанции.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