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организаций в размере 80 000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С учетом положений статьи 64 Налогового кодекса Российской Федерации к документам, устанавливающим имущественное положение 2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документам, а также о ежемесячном обороте средств по соответствующим счетам за три месяца, предшествующие подаче ходатайства. Обратившись с ходатайством об отсрочке уплаты государственной пошлины, конкурсный управляющий не представил надлежащих доказательств, свидетельствующих об имущественном положении должника на момент подачи жалобы. Представленные не подтвержденные налоговым органом электронные сведения о банковских счетах должника по состоянию на 02.12.2024 и 05.10.2018 содержат противоречивые данные об открытых и закрытых счетах должника. При этом при наличии восьми открытых счетов представлена выписка за один месяц только по одному счету в Банке ВТБ (ПАО). Ссылка конкурсного управляющего на отсутствие в конкурсной массе денежных средств сама по себе не свидетельствует о невозможности уплаты государственной пошлины в отсутствие надлежащих доказательств, подтверждающих указанное обстоятельство, а также затруднительность уплаты государственной пошлины в составе текущих платежей.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64,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ЗАО «Подрезково технопапк» в лице конкурсного управляющего Губкиной К.М.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