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«ТрансОйл» обратилось в Арбитражный суд Приморского края с иском о взыскании с общества с ограниченной ответственностью «Промрезерв» 53 692 рублей 20 копеек убытков, возникших в связи с неисполнением ответчиком обязанности грузополучателя по ремонту и очистке вагонов-цистерн от остатков груза. К участию в деле в качестве третьего лица, не заявляющего самостоятельных требований относительно предмета спора, привлечено ООО «Валэнси». Решением Арбитражного суда Приморского края от 7 декабря 2023 г., оставленным без изменения постановлением Пятого арбитражного апелляционного суда от 22 апреля 2024 г. и постановлением Арбитражного суда Дальневосточного округа от 16 августа 2024 г., иск удовлетворен. ООО «Промрезерв»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возвращения вагонов- цистерн в неисправном состоянии и с остатками перевозимого груза, руководствуясь положениями статей 15, 393, 401 Гражданского кодекса Российской Федерации, статьей 44 Федерального закона от 10 января 2003 г. № 18-ФЗ «Устав железнодорожного транспорта Российской Федерации», Правилами очистки и промывки вагонов и контейнеров после выгрузки грузов, утвержденными приказом Минтранса России от 10 апреля 2013 г. № 119, Правилами перевозок железнодорожным транспортом грузов наливом в вагонах-цистернах и вагонах бункерного типа для перевозки нефтебитума, утвержденными приказом Минтранса России от 29 июля 2019 г. № 245, суды пришли к выводу о доказанности наличия совокупности обстоятельств, необходимых для применения к ответчику меры ответственности в виде взыскания убытков в результате ненадлежащего исполнения обязательств грузополучателем. Доводы, изложенные в кассационной жалобе, приводились при рассмотрении дела, были рассмотрены судами и мотивированно отклонены. Эти доводы,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