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финансовый управляющий не представил никаких доказательств, свидетельствующих об имущественном положении должника на момент подачи жалобы. Ссылка на введение в отношении должника процедуры банкротства и отсутствие в конкурсной массе должника денежных средств сама по себе не свидетельствует об имущественном положении должника в отсутствие документов, подтверждающих указанные обстоятельства.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Новикову П.В.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