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Кооль А.С. в Арбитражный суд Алтайского края обратился финансовый управляющий имуществом должника с заявлением о признании недействительным договора купли-продажи автомобиля от 20.12.2021, заключенного между Фурсовым С.С. и Кооль С.А. (отцом должника), признании права собственности на транспортное средство за должником и применении последствий недействительности сделки. Определением Арбитражного суда Алтайского края от 8 апреля 2024 года, оставленным без изменения постановлением Седьмого арбитражного апелляционного суда от 7 июня 2024 года и постановлением Арбитражного суда Западно-Сибирского округа от 25 сентября 2024 года, признан недействительным договор купли-продажи автомобиля в части покупателя транспортного средства, применены последствия недействительности сделки в виде признания отсутствующим права собственности Кооль С.А. и признания права собственности должника на автомобиль. 2 Кооль А.С.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 о доказанности наличия совокупности обстоятельств, необходимой для признания сделки недействительной, учитывая, что сделка совершена с заинтересованным лицом (отцом должника), в период неплатежеспособности должника, автомобиль был приобретен на средства, принадлежавшие должнику, Кооль С.А. является мнимым держателем активов, в результате совершения указанной сделки на стороне ответчика Кооль С.А. было сосредоточено ликвидное имущество.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