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декабря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обратился в Верховный Суд Российской Федерации с кассационной жалобой, одновременно заявив ходатайство о восстановлении срока ее подачи. Рассмотрев ходатайство, оценив изложенные в нем доводы, судья находит его подлежащим удовлетворению. Руководствуясь статьями 117, 184, 291.2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Кочарян Радхики Аршаковны удовлетворить. Восстановить срок подачи кассационной жалобы на определение Арбитражного суда Московской области от 22 марта 2024 года, постановление Десятого арбитражного апелляционного суда от 17 июня 2024 года и постановление Арбитражного суда Московского округа от 12 сентября 2024 года по делу № А41-41526/2019.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