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Резуненко Е.В. в Арбитражный суд Челябинской области обратился финансовый управляющий имуществом должника с заявлением о признании недействительной сделки, выразившейся в регистрации должником транспортного средства на Резуненко Н.Г. (мать должника), и применении последствий ее недействительности. Определением Арбитражного суда Челябинской области от 17 января 2024 года, оставленным без изменения постановлением Восемнадцатого арбитражного апелляционного суда от 24 апреля 2024 года и постановлением Арбитражного суда Уральского округа от 12 сентября 2024 года, признаны недействительными договор купли-продажи транспортного средства от 31.03.2016 с Резуненко Е.А. и последующая сделка по передаче в собственность Резуненко Н.Г. автомобиля; применены последствия недействительности сделок в виде признания права собственности на автомобиль за должником и возврата транспортного средства в конкурсную массу должника. 2 Резуненко Е.В.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168 Гражданского кодекса Российской Федерации и пришли к выводу, что совершенные должником действия направлены на сохранение спорного объекта имущества в его владении, сделки являются взаимосвязанными, направленными на сокрытие ликвидного имущества, заключены между заинтересованными лицами, признав не пропущенным срок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