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Перевезенцева К.В. в Арбитражный суд города Москвы обратился финансовый управляющий имуществом должника с заявлением о предоставлении доступа на земельный участок и в здание на нем. Определением Арбитражного суда города Москвы от 26 февраля 2024 года, оставленным без изменения постановлением Девятого арбитражного апелляционного суда от 27 июня 2024 года и постановлением Арбитражного суда Московского округа от 2 октября 2024 года, заявление финансового управляющего удовлетворено, с обязанием должника предоставить доступ на указанные объекты недвижимости. Перевезенцев К.В.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существенное нарушение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Удовлетворяя заявленное ходатайство, суды исходили из установленного уклонения должника от сотрудничества с финансовым управляющим и необходимости осуществления финансовым управляющим действий по формированию конкурсной массы и руководствовались статьями 20.3, 213.9 Федерального закона от 26 октября 2002 г. № 127-ФЗ «О несостоятельности (банкротстве)».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