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25 апреля 2024 года требование ПАО «Совкомбанк» в размере 564 236 рублей 34 копеек признано обоснованным, в отношении Федосеевой М.С. введена процедура реструктуризации долгов гражданина, требование банка включено в третью очередь реестра требований кредиторов должника. Федосеева М.С. обратилась с апелляционной жалобой на указанное определение, одновременно заявив ходатайство о восстановлении пропущенного срока на ее подачу. Определением Тринадцатого арбитражного апелляционного суда от 8 августа 2024 года производство по апелляционной жалобе должника прекращено применительно к пункту 1 части 1 статьи 150 Арбитражного процессуального кодекса Российской Федерации в связи с отказом в восстановлении пропущенного процессуального срока. Арбитражный суд Северо-Западного округа постановлением от 13 сентября 2024 года определение суда апелляционной инстанции оставил без изменения. 2 Федосеева М.С.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что послужило основанием для прекращения производства по жалобе.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