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Мурзиной Оксаны Степановны в Арбитражный суд Краснодарского края обратилась Бобрицкая Т.М. с заявлением, уточненным в порядке статьи 49 Арбитражного процессуального кодекса Российской Федерации, об установлении требования в реестре требований кредиторов должника в размере 1 368 402 рублей 11 копеек, подтвержденного вступившим в законную силу решением Прикубанского районного суда г. Краснодара от 21 марта 2016 г. по делу № 2-3377/2016. Определением Арбитражного суда Краснодарского края от 26 февраля 2024 г., оставленным без изменения постановлением Пятнадцатого арбитражного апелляционного суда от 12 июня 2024 г. и постановлением Арбитражного суда Северо-Кавказского округа от 15 августа 2024 г., в удовлетворении заявления отказано. Бобрицкая Т.М.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21, 22, 31 Федерального закона от 02 октября 2007 г. № 229-ФЗ «Об исполнительном производстве» и исходили из пропуска кредитором трехлетнего срока для принудительного исполнения вступившего в законную силу судебного акта. Доводы заявителя об уважительности причин пропуска срока для реализации права взыскателя на принудительное исполнение исполнительного документа являлись предметом рассмотрения судов и мотивированно отклонены,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