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«Концерн «Созвездие» (исполнитель; далее – общество) обратилось в арбитражный суд с иском к федеральному государственному унитарному предприятию «Всероссийский научно-исследовательский институт автоматики им. Н.Л. Духова» (заказчик; далее – предприятие) о взыскании задолженности по договору № 1720187314532412259025374/59.602/2021 от 25 мая 2021 г. в размере 5 553 157 рублей 71 копейки. Решением Арбитражного суда города Москвы от 28 декабря 2023 г., оставленным без изменения постановлением Девятого арбитражного апелляционного суда от 25 марта 2024 г., исковое требование удовлетворено. Арбитражный суд Московского округа постановлением от 3 июля 2024 г. оставил решение суда первой инстанции и постановление суда апелляционной инстанции без изменения. В кассационной жалобе, поданной в Верховный Суд Российской Федерации, предприятие ставит вопрос об отмене принятых по делу судебных актов, ссылаясь на существенное нарушение норм права.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2 Рассматривая спор, суды трех инстанций, руководствуясь положениями статей 309, 310, 314, 424, 702 Гражданского кодекса Российской Федерации, Федеральным законом от 29 декабря 2012 г. № 275-ФЗ «О государственном оборонном заказе», постановлением Правительства Российской Федерации от 2 декабря 2017 г. №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принимая во внимание буквальное толкование условий договора, пришли к выводу о наличии у предприятия обязанности по оплате работ в заявленном обществом размере. Судебные инстанции исходили из того, что общество надлежащим образом исполнило принятые на себя по договору обязательства, результат работ принят головным исполнителем и используется. При этом фиксированная цена государственным заказчиком определена, однако обязательства по оплате выполненных работ предприятием в отсутствие законных оснований не выполнены. Доводы, изложенные в кассационной жалобе, являлись предметом полной и всесторонней проверки судов, получили надлежащую правовую оценку и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 Существенных нарушений норм материального и процессуального права, которые повлияли на исход дела и без устранения которых невозможно восстановить нарушенное право заявителя жалобы, судами не допущено.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«Всероссийский научно-исследовательский институт автоматики им. Н.Л. Духова»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