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Мордовия от 7 декабря 2023 г. завершена процедура реализации имущества Матвеевой Р.И., в отношении должника не применены правила об освобождении от дальнейшего исполнения обязательств перед кредиторами. Постановлением Первого арбитражного апелляционного суда от 19 марта 2024 г. определение суда первой инстанции оставлено без изменения. Арбитражный суд Волго-Вятского округа постановлением от 7 августа 2024 г. указанные судебные акты оставил без изменения. Матвеева Р.И. обратилась в Судебную коллегию Верховного Суда Российской Федерации с кассационной жалобой на принятые по делу судебные акты в части отказа в применении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 октября 2002 г. № 127-ФЗ «О несостоятельности (банкротстве)», разъяснениями, изложенными в постановлении Пленума Верховного Суда Российской Федерации от 13 октября 2015 г. № 45 «О некоторых вопросах, связанных с введением в действие процедур, применяемых в делах о несостоятельности (банкротстве) граждан», и исходили из установленных обстоятельств недобросовестного поведения должника и ее супруга, направленного на вывод активов из конкурсной массы.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