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Подъяпольского Дмитрия Александровича в Арбитражный суд города Москвы обратился финансовый управляющий с заявлением о признании недействительной сделкой брачного договора от 14.01.2016 № 1-95, заключенного между должником и Перфишиной С.Н., и применении последствий недействительности сделки. Определением Арбитражного суда города Москвы от 15 января 2024 г., оставленным без изменения постановлением Девятого арбитражного апелляционного суда от 14 мая 2024 г. и постановлением Арбитражного суда Московского округа от 14 августа 2024 г., заявление финансового управляющего удовлетворено. Перфишина С.Н.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 Гражданского кодекса Российской Федерации, статьей 213.32 Федерального закона от 26 октября 2002 г. № 127-ФЗ «О несостоятельности (банкротстве)», статьями 34, 36 Семейного кодекса Российской Федерации, разъяснениями, изложенными в постановлении Пленума Верховного Суда Российской Федерации от 23 июня 2015 г. № 25 «О применении судами некоторых положений раздела I части первой Гражданского кодекса Российской Федерации», и исходили из недобросовестного поведения должника и его супруги по изменению режима совместной собственности имущества с целью причинения вреда имущественным правам кредиторов путем вывода ликвидных активов из общей собственности и предотвращения возможного обращения на него взыскания.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