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«Дженерал Сервис»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ООО «ВиАйДжи Кастомс» 4 214 755 рублей 26 копеек убытков в размере стоимости утраченного груза. К участию в деле в качестве третьего лица, не заявляющего самостоятельных требований относительно предмета спора, привлечено АО «Страховая компания «Пари». Решением Арбитражного суда города Москвы от 8 февраля 2024 г. иск удовлетворен. Постановлением Девятого арбитражного апелляционного суда от 13 июня 2024 г. решение суда первой инстанции оставлено без изменения. Арбитражный суд Московского округа постановлением от 29 августа 2024 г. указанные судебные акты оставил без изменения. ООО «ВиАйДжи Кастомс» обратилось в Судебную коллегию Верховного Суда Российской Федерации с кассационными жалобами и дополнениями к 2 ним на принятые по делу судебные акты, ссылаясь на существенные нарушения норм права. АО «СК «Пари» представлены письменные объяснения по кассационной жалобе.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 дополнений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утраты груза по вине ответчика, наличие причинно-следственной связи между убытками истца и действиями ответчика, отсутствие доказательств того, что повреждение груза произошло вследствие обстоятельств, которые бы свидетельствовали об отсутствии вины экспедитора в утрате и порче товара, установив размер заявленных убытков, руководствуясь статьями 15, 393, 801, 803 Гражданского кодекса Российской Федерации, положениями Федерального закона от 30 июня 2003 г. № 87-ФЗ «О транспортно-экспедиционной деятельности», разъяснениями, изложенными в постановлениях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и от 24 марта 2016 г.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об обоснованности заявленного требования. Доводы жалоб и дополнений,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и дополнений направлены на переоценку доказательств по делу и 3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