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Комлевой Лилии Амирзяновны в Арбитражный суд Республики Татарстан обратилась должник с заявлением об исключении из конкурсной массы 3/10 доли в праве общей долевой собственности на квартиру. Определением Арбитражного суда Республики Татарстан от 26 декабря 2023 года, оставленным без изменения постановлением Одиннадцатого арбитражного апелляционного суда от 26 апреля 2024 года и постановлением Арбитражного суда Поволжского округа от 13 августа 2024 года, в удовлетворении заявления отказано. Комлева Л.А.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статьи 213.25 Федерального закона от 26 октября 2002 г. № 127-ФЗ «О несостоятельности (банкротстве)», статьей 446 Гражданского процессуального кодекса Российской Федерации и исходили из того, что спорное помещение не является для должника и членов его семьи единственным пригодным для проживания жилым помещением, поскольку исполнительский иммунитет действует в отношении иной квартиры. Доводы, изложенные в кассационной жалобе, приводились при рассмотрении спора, были рассмотрены судами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