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государственная корпорация «Агентство по страхованию вкладов» обратилось в Арбитражный суд Сахалинской области с заявлением о процессуальной замене кредитора – ОАО «Тихоокеанский Внешторгбанк» на его правопреемника – агентство по требованиям, включенным в реестр требований кредиторов должника на основании судебных актов, обеспеченных залогом имущества должника, в сумме 9 713 112 рублей 34 копеек. Определением Арбитражного суда Сахалинской области от 7 марта 2024 года, оставленным без изменения постановлением Пятого арбитражного апелляционного суда от 24 мая 2024 года и постановлением Арбитражного суда Дальневосточного округа от 6 августа 2024 года, заявление удовлетворено; в реестре произведена замена на агентство по требованиям в указанном размере (в непогашенной части), обеспеченных залогом имущества должника (жилой дом в нереализованной части). Гузак Д.В.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пришли к выводу о том, что при передаче одного права (требования) в качестве отступного для прекращения другого права (требования) имеет место уступка первого требования, признали их соответствие правилам главы 24 Гражданского кодекса Российской Федерации, установив достаточность имеющихся доказательств относительно состоявшейся перемены лица (взыскателя) в материальном правоотношении, что, в свою очередь, является условием для процессуального правопреемства. Несогласие заявителя кассационной жалобы с произведенной судами оценкой обстоятельств дела не свидетельствует о неправильном применении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