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Мищенко Виталия Николаевича в Арбитражный суд Омской области обратился финансовый управляющий имуществом должника с заявлением к Ещенко А.И., Ещенко Т.Б., Володину М.А. о признании недействительной взаимосвязанной цепочки сделок по отчуждению недвижимого имущества (земельных участков и зданий). Определением Арбитражного суда Омской области от 4 марта 2024 года заявление удовлетворено в части признания недействительной цепочки взаимосвязанных последовательно совершенных сделок – соглашения от 28.02.2014 и действий, выразившихся в принятии Ещенко А.И. в собственность земельных участков и зданий, применены последствия недействительности сделок в виде взыскания с Ещенко Т.Б. в конкурсную массу должника 54 921 038 рублей 13 копеек; в удовлетворении заявления в остальной части отказано. Постановлением Восьмого арбитражного апелляционного суда от 27 мая 2024 года определение суда первой инстанции отменено, в удовлетворении заявления отказано. 2 Арбитражный суд Западно-Сибирского округа постановлением от 14 августа 2024 года отменил постановление суда апелляционной инстанции и оставил в силе определение суда первой инстанции. Ещенко Т.Б. обратилась в Судебную коллегию Верховного Суда Российской Федерации с кассационной жалобой на судебные акты судов первой и кассационной инстанций,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Суд первой инстанции, установив, что оспариваемые сделки совершены до 01.10.2015, руководствовался пунктом 13 статьи 14 Федерального закона от 29 июня 2015 года № 154-ФЗ «Об урегулировании особенностей несостоятельности (банкротства)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Федерации», положениями статей 10, 168, 170, 181, 195, 199 Гражданского кодекса Российской Федерации и исходил из доказанности финансовым управляющим факта совершения цепочки последовательных сделок формально, учитывая недоказанность наличия у Ещенко А.И. финансовой возможности и несения им расходов на приобретение земельных участков и строительство домов на них, фактическое осуществление названных действий должником за счет привлеченных им денежных средств от Володина М.А. и Филиппова Е.В. по договорам займа, взаимосвязь действий после передачи Ещенко А.И. земельных участков с отзывом им доверенностей, выданных на имя должника, их осуществление в целях причинения вреда интересам действительных инвесторов проекта – Володина М.А. и Филиппова Е.В., признав не пропущенным срок исковой давности. Окружной суд согласился с выводами суда первой инстанции.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3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