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Саиляна Армана Ромаевича удовлетворить. Восстановить срок подачи кассационной жалобы на определение Арбитражного суда Владимирской области от 26 декабря 2023 года, постановление Первого арбитражного апелляционного суда от 31 мая 2024 года и постановление Арбитражного суда Волго-Вятского округа от 10 сентября 2024 года по делу № А11-12536/2019.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