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Банк «ВВБ»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АО «Инвестиционные технологии» 215 000 000 рублей задолженности по кредитному договору,3 051 232 рублей 88 копеек задолженности по процентам, 27 543 561 рубля66 копеек задолженности по просроченным процентам, 21 571 804 рублей14 копеек пени за просрочку погашения процентов за пользование кредитом, обращении взыскания на заложенное имущество, с установлением начальной продажной стоимости в размере 44 179 000 рублей. К участию в деле в качестве третьего лица, не заявляющего самостоятельных требований относительно предмета спора, привлеченоООО «Инвестиционно-Консалтинговое объединение «Анвест». Решением Арбитражного суда города Москвы от 12 августа 2019 г., оставленным без изменения постановлением Девятого арбитражного апелляционного суда от 18 ноября 2019 г., иск удовлетворен. Постановлением Арбитражного суда Московского округа от 19 марта2020 г. судебные акты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02 ноября 2023 г. иск удовлетворен, обращено взыскание на заложенное имущество. Постановлением Девятого арбитражного апелляционного судаот 15 марта 2024 г. решение суда первой инстанции оставлено без изменения. Арбитражный суд Московского округа постановлением от 30 июля2024 г. указанные судебные акты оставил без изменения. АО «Инвестиционные технологии»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8 , 309 , 310 , 334 , 337 , 348 , 349 , 807 , 809 , 810 , 819 , 820 , 821.1 Гражданского кодекса Российской Федерации, выявив состав, последовательность, фактическую и правовую направленность взаимных действий сторон, установив факт заключения кредитного договора и фактическое предоставление банком денежных средств ответчику на согласованных условиях, отсутствие доказательств возврата денежных средств в установленные сроки, суды пришли к выводу об удовлетворении заявленных требований и обращении взыскания на заложенное имущество.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Банк "ВВБ" (подробнее) ПАО Банк "ВВБ" в лице ку - Государственной корпорации "Агентство по страхованию вкладов" (подробнее) Ответчики: АО "Инвестиционные технологии" (подробнее) Иные лица: ООО "Инвестиционно-консалтинговое объединение "АНВЕСТ" (подробнее) Судебная практика по: По кредитам, по кредитным договорам, банки, банковский договор Судебная практика по применению норм ст. 819, 820, 821, 822, 823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