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«Си Би Логистик» обратилось в Арбитражный суд Приморского края с иском о взыскании с ООО «ВСК» 5 565 077 рублей 90 копеек убытков по договору перевалки и оказания услуг по экспедированию грузов от 25.12.2019 № КЭ/ВСК-77-2019. К участию в деле в качестве третьих лиц, не заявляющих самостоятельных требований относительно предмета спора, привлечены АО «АльфаСтрахование», ООО «Ютэк-Техно». Решением Арбитражного суда Приморского края от 27 марта 2024 года, оставленным без изменения постановлением Пятого арбитражного апелляционного суда от 6 июня 2024 года и постановлением Арбитражного суда Дальневосточного округа от 13 сентября 2024 года, иск удовлетворен. ООО «ВСК»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заключения экспертов, руководствуясь положениями статей 15, 393 Гражданского кодекса Российской Федерации, разъяснениями, изложенными в пункте 12 постановления Пленума Верховного Суда Российской Федерации от 23 июня 2015 года № 25 «О применении судами некоторых положений раздела 1 части первой Гражданского кодекса Российской Федерации», суды пришли к выводу о доказанности наличия совокупности обстоятельств, необходимых для привлечения ответчика к ответственности в виде взыскания убытков в связи с повреждением груза.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