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22 ноября 2024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в рамках дела о несостоятельности (банкротстве) индивидуального предпринимателя Черновой Марины Викторовны в Арбитражный суд Московской области обратился финансовый управляющий с ходатайством об установлении процентов по вознаграждению в размере 1 291 645 рублей 40 копеек и взыскании вознаграждения с должника. Определением Арбитражного суда Московской области от 26 апреля 2024 г. заявление финансового управляющего удовлетворено, в его пользу с ООО «ЭнергоЖБИ» взысканы проценты по вознаграждению в размере 1 291 645 рублей 40 копеек. Постановлением Десятого арбитражного апелляционного суда от 27 июня 2024 г. определение суда первой инстанции изменено, установлены финансовому управляющему Огородову Е.С. проценты по вознаграждению в размере 600 000 рублей, которые взысканы в его пользу с должника. Арбитражный суд Московского округа постановлением от 23 сентября 2024 г. постановление суда апелляционной инстанции оставил без изменения. 2 Арбитражный управляющий Огородов Е.С. обратился в Судебную коллегию Верховного Суда Российской Федерации с кассационной жалобой на постановления суда апелляционной инстанции и суда округа, ссылаясь на существенные нарушения норм права. Согласно пункту 1 части 7 статьи 291.6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Федерации, если отсутствуют основания для пересмотра судебных актов в кассационном порядке.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 (часть 1 статьи 291.11 Арбитражного процессуального кодекса Российской Федерации). Таких оснований для пересмотра обжалуемых судебных актов в кассационном порядке по доводам жалобы не установлено. Разрешая спор, суд апелляционной инстанции, руководствуясь пунктом 17 статьи 20.6, пунктом 3 статьи 213.9 Федерального закона от 26 октября 2002 г. № 127-ФЗ «О несостоятельности (банкротстве)», пунктами 5, 8 постановления Пленума Высшего Арбитражного Суда Российской Федерации от 25 декабря 2013 г. № 97 «О некоторых вопросах, связанных с вознаграждением арбитражного управляющего при банкротстве», исходя из конкретных обстоятельств дела, пришел к выводу о необходимости снижения стимулирующих процентов по вознаграждению арбитражного управляющего. Суд округа поддержал выводы суда апелляционной инстанции. Ссылка заявителя на нарушение судом округа правила о тайне совещания судей при принятии постановления отклоняется, поскольку суд удалился в совещательную комнату, а возможная техническая неисправность оборудования вэб-конференции и поведение представителя заявителя, свидетельствующее о нарушении им части 4 статьи 167 Арбитражного процессуального кодекса Российской Федерации, не может являться основанием для отмены судебного акта по безусловным основаниям. Доводы, изложенные в кассационной жалобе, выводы судов не опровергают, не подтверждают существенных нарушений норм материального права и норм процессуального права, повлиявших на исход дела, и не являются достаточным основанием для пересмотра судебных актов в кассационном порядке. По существу доводы жалобы направлены на переоценку доказательств по делу и установленных фактических обстоятельств, что не входит в полномочия суда при кассационном производстве. 3 Исходя из вышеизложенного,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имеется. Руководствуясь статьями 291.6, 291.8 Арбитражного процессуального кодекса Российской Федерации, суд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Е.Н. Зарубина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