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17 октября 2018 года Лиманская Марина Юрьевна признана банкротом, в отношении должника введена процедура реализации имущества, финансовым управляющим утвержден Колосовский А.В. Определением Арбитражного суда Челябинской области от 14 октября 2019 года Колосовский А.В. освобожден от исполнения обязанностей финансового управляющего имуществом должника. Определением Арбитражного суда Челябинской области от 14 ноября 2019 года финансовым управляющим имуществом должника утвержден Усков А.И. Финансовый управляющий Усков А.И. обратился в Арбитражный суд Челябинской области с заявлением о признании незаконными действий (бездействия) финансового управляющего Колосовского А.В. и взыскании с него убытков. Определением Арбитражного суда Челябинской области от 02 ноября 2023 года жалоба на бездействие финансового управляющего Колосовского А.В. удовлетворена и с последнего в пользу конкурсной массы должника взысканы убытки в сумме 4 880 000 рублей. 2 Постановлением Восемнадцатого арбитражного апелляционного суда от 15 марта 2024 года определение суда первой инстанции изменено, жалоба на бездействие финансового управляющего Колосовского А.В., выразившееся в несвоевременном направлении запроса о предоставлении правоустанавливающих документов и о переходе прав на здание и земельный участок, принадлежавшие должнику, выявлении сделки должника, подлежащей оспариванию в отношении указанных объектов недвижимости, и несвоевременной передаче документов последующему финансовому управляющему имуществом должника, признана обоснованной; во взыскании с Колосовского А.В. убытков отказано. Арбитражный суд Уральского округа постановлением от 7 августа 2024 года оставил без изменения постановление суда апелляционной инстанции. Финансовый управляющий Усков А.И.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во взыскании убытков с арбитражного управляющего, суд апелляционной инстанции руководствовался положениями статей 15, 393 Гражданского кодекса Российской Федерации, статьями 20.3, 20.4, 213.9 Федерального закона от 26 октября 2002 года № 127-ФЗ «О несостоятельности (банкротстве)» и исходил из совокупности установленных по делу обстоятельств и отсутствия наступления негативных последствий для конкурсной массы. Окружной суд согласился с выводами суда апелляционной инстанции.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