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Литвинцева Олега Васильевича в Арбитражный суд города Москвы обратилось ПАО «Сбербанк России» с заявлением о включении в реестр требований кредиторов должника задолженности в размере 86 003 942 рублей 83 копеек. Определением Арбитражного суда г. Москвы от 7 марта 2024 года, оставленным без изменения постановлением Девятого арбитражного апелляционного суда от 15 мая 2024 года и постановлением Арбитражного суда Московского округа от 29 июля 2024 года, признано обоснованным и подлежащим включению в третью очередь реестра требований кредиторов должника требование банка в заявленном размере. Калашников С.В.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16, 71, 100 Федерального закона от 26 октября 2002 года № 127-ФЗ «О несостоятельности (банкротстве)», статьей 367 Гражданского кодекса Российской Федерации, разъяснениями, изложенными в постановлении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и исходили из того, что требование кредитора основано на договоре поручительства ввиду неисполнения заемщиком обязательств по возврату кредита, учитывая представление достаточных доказательств наличия и размера задолженности.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