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Смирнова Александра Николаевича в Арбитражный суд Свердловской области обратилось ПАО «Сбербанк России» с заявлением о разрешении разногласий с финансовым управляющим. Определением Арбитражного суда Свердловской области от 28 февраля 2024 года в удовлетворении заявления отказано. Постановлением Семнадцатого арбитражного апелляционного суда от 24 апреля 2024 года определение суда первой инстанции отменено, разрешены разногласия между залоговым кредитором и финансовым управляющим, с обязанием последнего перечислить банку денежные средства, вырученные от реализации заложенного имущества должника, на удовлетворение требования по уплате мораторных процентов в сумме 97 444 рублей 88 копеек. Арбитражный суд Уральского округа постановлением от 24 июля 2024 года оставил без изменения постановление суда апелляционной инстанции. 2 ФГКУ «Росвоенипотека»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определении прав залоговых кредиторов на причитающиеся от реализации имущества должника денежные средства суд апелляционной инстанции руководствовался правилом старшинства залогов (статья 342 Гражданского кодекса Российской Федерации). Окружной суд согласился с выводами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